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58B" w:rsidRDefault="0017458B" w:rsidP="00A85722">
      <w:pPr>
        <w:jc w:val="center"/>
        <w:rPr>
          <w:rFonts w:ascii="Bookman Old Style" w:hAnsi="Bookman Old Style" w:cs="Times New Roman"/>
          <w:sz w:val="25"/>
          <w:szCs w:val="25"/>
        </w:rPr>
      </w:pPr>
      <w:r>
        <w:rPr>
          <w:rFonts w:ascii="Bookman Old Style" w:hAnsi="Bookman Old Style" w:cs="Times New Roman"/>
          <w:sz w:val="25"/>
          <w:szCs w:val="25"/>
        </w:rPr>
        <w:t>CITY OF THORNE BAY</w:t>
      </w:r>
    </w:p>
    <w:p w:rsidR="0017458B" w:rsidRDefault="0017458B" w:rsidP="00A85722">
      <w:pPr>
        <w:jc w:val="center"/>
        <w:rPr>
          <w:rFonts w:ascii="Bookman Old Style" w:hAnsi="Bookman Old Style" w:cs="Times New Roman"/>
          <w:sz w:val="25"/>
          <w:szCs w:val="25"/>
        </w:rPr>
      </w:pPr>
      <w:r>
        <w:rPr>
          <w:rFonts w:ascii="Bookman Old Style" w:hAnsi="Bookman Old Style" w:cs="Times New Roman"/>
          <w:sz w:val="25"/>
          <w:szCs w:val="25"/>
        </w:rPr>
        <w:t>ORDINANCE 17-09-19-02</w:t>
      </w:r>
    </w:p>
    <w:p w:rsidR="0017458B" w:rsidRDefault="0017458B" w:rsidP="00A85722">
      <w:pPr>
        <w:jc w:val="center"/>
        <w:rPr>
          <w:rFonts w:ascii="Bookman Old Style" w:hAnsi="Bookman Old Style" w:cs="Times New Roman"/>
          <w:sz w:val="25"/>
          <w:szCs w:val="25"/>
        </w:rPr>
      </w:pPr>
    </w:p>
    <w:p w:rsidR="0017458B" w:rsidRDefault="0017458B" w:rsidP="00A85722">
      <w:pPr>
        <w:jc w:val="center"/>
        <w:rPr>
          <w:rFonts w:ascii="Bookman Old Style" w:hAnsi="Bookman Old Style" w:cs="Times New Roman"/>
          <w:sz w:val="25"/>
          <w:szCs w:val="25"/>
        </w:rPr>
      </w:pPr>
      <w:r>
        <w:rPr>
          <w:rFonts w:ascii="Bookman Old Style" w:hAnsi="Bookman Old Style" w:cs="Times New Roman"/>
          <w:sz w:val="25"/>
          <w:szCs w:val="25"/>
        </w:rPr>
        <w:t xml:space="preserve">AN ORDINANCE OF THE CITY COUNCIL FOR THE CITY OF THORNE BAY, ALASKA, AMENDING TITLE 3-REVENUE AND FINANCE, CHAPTER 3.17-SALES TAX, SECTIONS </w:t>
      </w:r>
      <w:r w:rsidR="002414F0">
        <w:rPr>
          <w:rFonts w:ascii="Bookman Old Style" w:hAnsi="Bookman Old Style" w:cs="Times New Roman"/>
          <w:sz w:val="25"/>
          <w:szCs w:val="25"/>
        </w:rPr>
        <w:t>3.17.100 –</w:t>
      </w:r>
      <w:r w:rsidR="00576F1C">
        <w:rPr>
          <w:rFonts w:ascii="Bookman Old Style" w:hAnsi="Bookman Old Style" w:cs="Times New Roman"/>
          <w:sz w:val="25"/>
          <w:szCs w:val="25"/>
        </w:rPr>
        <w:t xml:space="preserve"> </w:t>
      </w:r>
      <w:r w:rsidR="002414F0">
        <w:rPr>
          <w:rFonts w:ascii="Bookman Old Style" w:hAnsi="Bookman Old Style" w:cs="Times New Roman"/>
          <w:sz w:val="25"/>
          <w:szCs w:val="25"/>
        </w:rPr>
        <w:t xml:space="preserve">EXEMPTIONS, </w:t>
      </w:r>
      <w:r>
        <w:rPr>
          <w:rFonts w:ascii="Bookman Old Style" w:hAnsi="Bookman Old Style" w:cs="Times New Roman"/>
          <w:sz w:val="25"/>
          <w:szCs w:val="25"/>
        </w:rPr>
        <w:t>3.17.110-SALES TAX EXEMPTION FOR THE ELDERLY</w:t>
      </w:r>
    </w:p>
    <w:p w:rsidR="0017458B" w:rsidRDefault="0017458B" w:rsidP="00A85722">
      <w:pPr>
        <w:jc w:val="center"/>
        <w:rPr>
          <w:rFonts w:ascii="Bookman Old Style" w:hAnsi="Bookman Old Style" w:cs="Times New Roman"/>
          <w:sz w:val="25"/>
          <w:szCs w:val="25"/>
        </w:rPr>
      </w:pPr>
    </w:p>
    <w:p w:rsidR="0017458B" w:rsidRDefault="0017458B" w:rsidP="00A85722">
      <w:pPr>
        <w:jc w:val="center"/>
        <w:rPr>
          <w:rFonts w:ascii="Bookman Old Style" w:hAnsi="Bookman Old Style" w:cs="Times New Roman"/>
          <w:sz w:val="25"/>
          <w:szCs w:val="25"/>
        </w:rPr>
      </w:pPr>
      <w:r>
        <w:rPr>
          <w:rFonts w:ascii="Bookman Old Style" w:hAnsi="Bookman Old Style" w:cs="Times New Roman"/>
          <w:sz w:val="25"/>
          <w:szCs w:val="25"/>
        </w:rPr>
        <w:t xml:space="preserve">BE IT ENACTED BY THE CITY COUNCIL FOR THE CITY OF THORNE BAY, ALASKA </w:t>
      </w:r>
    </w:p>
    <w:p w:rsidR="0017458B" w:rsidRDefault="0017458B" w:rsidP="00A85722">
      <w:pPr>
        <w:jc w:val="center"/>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r>
        <w:rPr>
          <w:rFonts w:ascii="Bookman Old Style" w:hAnsi="Bookman Old Style"/>
          <w:sz w:val="25"/>
          <w:szCs w:val="25"/>
        </w:rPr>
        <w:tab/>
      </w:r>
      <w:r>
        <w:rPr>
          <w:rFonts w:ascii="Bookman Old Style" w:hAnsi="Bookman Old Style"/>
          <w:sz w:val="25"/>
          <w:szCs w:val="25"/>
        </w:rPr>
        <w:tab/>
      </w:r>
      <w:r>
        <w:rPr>
          <w:rFonts w:ascii="Bookman Old Style" w:hAnsi="Bookman Old Style" w:cs="Times New Roman"/>
          <w:sz w:val="25"/>
          <w:szCs w:val="25"/>
        </w:rPr>
        <w:t>Section 1.</w:t>
      </w:r>
      <w:r>
        <w:rPr>
          <w:rFonts w:ascii="Bookman Old Style" w:hAnsi="Bookman Old Style" w:cs="Times New Roman"/>
          <w:sz w:val="25"/>
          <w:szCs w:val="25"/>
        </w:rPr>
        <w:tab/>
      </w:r>
      <w:r>
        <w:rPr>
          <w:rFonts w:ascii="Bookman Old Style" w:hAnsi="Bookman Old Style" w:cs="Times New Roman"/>
          <w:sz w:val="25"/>
          <w:szCs w:val="25"/>
          <w:u w:val="single"/>
        </w:rPr>
        <w:t>Classification</w:t>
      </w:r>
      <w:r>
        <w:rPr>
          <w:rFonts w:ascii="Bookman Old Style" w:hAnsi="Bookman Old Style" w:cs="Times New Roman"/>
          <w:sz w:val="25"/>
          <w:szCs w:val="25"/>
        </w:rPr>
        <w:t>. This ordi</w:t>
      </w:r>
      <w:r w:rsidR="00F07E89">
        <w:rPr>
          <w:rFonts w:ascii="Bookman Old Style" w:hAnsi="Bookman Old Style" w:cs="Times New Roman"/>
          <w:sz w:val="25"/>
          <w:szCs w:val="25"/>
        </w:rPr>
        <w:t xml:space="preserve">nance is of a general and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Pr>
          <w:rFonts w:ascii="Bookman Old Style" w:hAnsi="Bookman Old Style" w:cs="Times New Roman"/>
          <w:sz w:val="25"/>
          <w:szCs w:val="25"/>
        </w:rPr>
        <w:t xml:space="preserve">permanent </w:t>
      </w:r>
      <w:r>
        <w:rPr>
          <w:rFonts w:ascii="Bookman Old Style" w:hAnsi="Bookman Old Style" w:cs="Times New Roman"/>
          <w:sz w:val="25"/>
          <w:szCs w:val="25"/>
        </w:rPr>
        <w:tab/>
        <w:t>nature, the chapter and section her</w:t>
      </w:r>
      <w:r w:rsidR="00F07E89">
        <w:rPr>
          <w:rFonts w:ascii="Bookman Old Style" w:hAnsi="Bookman Old Style" w:cs="Times New Roman"/>
          <w:sz w:val="25"/>
          <w:szCs w:val="25"/>
        </w:rPr>
        <w:t xml:space="preserve">eby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Pr>
          <w:rFonts w:ascii="Bookman Old Style" w:hAnsi="Bookman Old Style" w:cs="Times New Roman"/>
          <w:sz w:val="25"/>
          <w:szCs w:val="25"/>
        </w:rPr>
        <w:t>amended shall be added t</w:t>
      </w:r>
      <w:r w:rsidR="00F07E89">
        <w:rPr>
          <w:rFonts w:ascii="Bookman Old Style" w:hAnsi="Bookman Old Style" w:cs="Times New Roman"/>
          <w:sz w:val="25"/>
          <w:szCs w:val="25"/>
        </w:rPr>
        <w:t xml:space="preserve">o the Thorne Bay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t xml:space="preserve">Municipal </w:t>
      </w:r>
      <w:r>
        <w:rPr>
          <w:rFonts w:ascii="Bookman Old Style" w:hAnsi="Bookman Old Style" w:cs="Times New Roman"/>
          <w:sz w:val="25"/>
          <w:szCs w:val="25"/>
        </w:rPr>
        <w:t>Code.</w:t>
      </w:r>
    </w:p>
    <w:p w:rsidR="0017458B" w:rsidRDefault="0017458B" w:rsidP="00A85722">
      <w:pPr>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r>
        <w:rPr>
          <w:rFonts w:ascii="Bookman Old Style" w:hAnsi="Bookman Old Style" w:cs="Times New Roman"/>
          <w:sz w:val="25"/>
          <w:szCs w:val="25"/>
        </w:rPr>
        <w:tab/>
      </w:r>
      <w:r>
        <w:rPr>
          <w:rFonts w:ascii="Bookman Old Style" w:hAnsi="Bookman Old Style" w:cs="Times New Roman"/>
          <w:sz w:val="25"/>
          <w:szCs w:val="25"/>
        </w:rPr>
        <w:tab/>
        <w:t>Section 2.</w:t>
      </w:r>
      <w:r>
        <w:rPr>
          <w:rFonts w:ascii="Bookman Old Style" w:hAnsi="Bookman Old Style" w:cs="Times New Roman"/>
          <w:sz w:val="25"/>
          <w:szCs w:val="25"/>
        </w:rPr>
        <w:tab/>
      </w:r>
      <w:r>
        <w:rPr>
          <w:rFonts w:ascii="Bookman Old Style" w:hAnsi="Bookman Old Style" w:cs="Times New Roman"/>
          <w:sz w:val="25"/>
          <w:szCs w:val="25"/>
          <w:u w:val="single"/>
        </w:rPr>
        <w:t>Severability</w:t>
      </w:r>
      <w:r>
        <w:rPr>
          <w:rFonts w:ascii="Bookman Old Style" w:hAnsi="Bookman Old Style" w:cs="Times New Roman"/>
          <w:sz w:val="25"/>
          <w:szCs w:val="25"/>
        </w:rPr>
        <w:t>.  If any provi</w:t>
      </w:r>
      <w:r w:rsidR="00F07E89">
        <w:rPr>
          <w:rFonts w:ascii="Bookman Old Style" w:hAnsi="Bookman Old Style" w:cs="Times New Roman"/>
          <w:sz w:val="25"/>
          <w:szCs w:val="25"/>
        </w:rPr>
        <w:t xml:space="preserve">sions of this ordinance or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t xml:space="preserve">any application </w:t>
      </w:r>
      <w:r>
        <w:rPr>
          <w:rFonts w:ascii="Bookman Old Style" w:hAnsi="Bookman Old Style" w:cs="Times New Roman"/>
          <w:sz w:val="25"/>
          <w:szCs w:val="25"/>
        </w:rPr>
        <w:t>thereof to any p</w:t>
      </w:r>
      <w:r w:rsidR="00F07E89">
        <w:rPr>
          <w:rFonts w:ascii="Bookman Old Style" w:hAnsi="Bookman Old Style" w:cs="Times New Roman"/>
          <w:sz w:val="25"/>
          <w:szCs w:val="25"/>
        </w:rPr>
        <w:t xml:space="preserve">erson or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t xml:space="preserve">circumstances is held </w:t>
      </w:r>
      <w:r>
        <w:rPr>
          <w:rFonts w:ascii="Bookman Old Style" w:hAnsi="Bookman Old Style" w:cs="Times New Roman"/>
          <w:sz w:val="25"/>
          <w:szCs w:val="25"/>
        </w:rPr>
        <w:t xml:space="preserve">invalid, the circumstances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Pr>
          <w:rFonts w:ascii="Bookman Old Style" w:hAnsi="Bookman Old Style" w:cs="Times New Roman"/>
          <w:sz w:val="25"/>
          <w:szCs w:val="25"/>
        </w:rPr>
        <w:t>shall not be affected thereby.</w:t>
      </w:r>
    </w:p>
    <w:p w:rsidR="0017458B" w:rsidRDefault="0017458B" w:rsidP="00A85722">
      <w:pPr>
        <w:rPr>
          <w:rFonts w:ascii="Bookman Old Style" w:hAnsi="Bookman Old Style" w:cs="Times New Roman"/>
          <w:sz w:val="25"/>
          <w:szCs w:val="25"/>
        </w:rPr>
      </w:pPr>
    </w:p>
    <w:p w:rsidR="0017458B" w:rsidRDefault="0017458B" w:rsidP="00A85722">
      <w:pPr>
        <w:ind w:hanging="2160"/>
        <w:rPr>
          <w:rFonts w:ascii="Bookman Old Style" w:hAnsi="Bookman Old Style" w:cs="Times New Roman"/>
          <w:sz w:val="25"/>
          <w:szCs w:val="25"/>
        </w:rPr>
      </w:pPr>
      <w:r>
        <w:rPr>
          <w:rFonts w:ascii="Bookman Old Style" w:hAnsi="Bookman Old Style" w:cs="Times New Roman"/>
          <w:sz w:val="25"/>
          <w:szCs w:val="25"/>
        </w:rPr>
        <w:tab/>
      </w:r>
      <w:r>
        <w:rPr>
          <w:rFonts w:ascii="Bookman Old Style" w:hAnsi="Bookman Old Style" w:cs="Times New Roman"/>
          <w:sz w:val="25"/>
          <w:szCs w:val="25"/>
        </w:rPr>
        <w:tab/>
      </w:r>
      <w:r w:rsidR="002414F0">
        <w:rPr>
          <w:rFonts w:ascii="Bookman Old Style" w:hAnsi="Bookman Old Style" w:cs="Times New Roman"/>
          <w:sz w:val="25"/>
          <w:szCs w:val="25"/>
        </w:rPr>
        <w:tab/>
      </w:r>
      <w:r>
        <w:rPr>
          <w:rFonts w:ascii="Bookman Old Style" w:hAnsi="Bookman Old Style" w:cs="Times New Roman"/>
          <w:sz w:val="25"/>
          <w:szCs w:val="25"/>
        </w:rPr>
        <w:t>Section 3.</w:t>
      </w:r>
      <w:r>
        <w:rPr>
          <w:rFonts w:ascii="Bookman Old Style" w:hAnsi="Bookman Old Style" w:cs="Times New Roman"/>
          <w:sz w:val="25"/>
          <w:szCs w:val="25"/>
        </w:rPr>
        <w:tab/>
      </w:r>
      <w:r>
        <w:rPr>
          <w:rFonts w:ascii="Bookman Old Style" w:hAnsi="Bookman Old Style" w:cs="Times New Roman"/>
          <w:sz w:val="25"/>
          <w:szCs w:val="25"/>
          <w:u w:val="single"/>
        </w:rPr>
        <w:t>Amendment of Section</w:t>
      </w:r>
      <w:r>
        <w:rPr>
          <w:rFonts w:ascii="Bookman Old Style" w:hAnsi="Bookman Old Style" w:cs="Times New Roman"/>
          <w:sz w:val="25"/>
          <w:szCs w:val="25"/>
        </w:rPr>
        <w:t>.  Th</w:t>
      </w:r>
      <w:r w:rsidR="00F07E89">
        <w:rPr>
          <w:rFonts w:ascii="Bookman Old Style" w:hAnsi="Bookman Old Style" w:cs="Times New Roman"/>
          <w:sz w:val="25"/>
          <w:szCs w:val="25"/>
        </w:rPr>
        <w:t xml:space="preserve">e title and chapter of Title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t>3-</w:t>
      </w:r>
      <w:r>
        <w:rPr>
          <w:rFonts w:ascii="Bookman Old Style" w:hAnsi="Bookman Old Style" w:cs="Times New Roman"/>
          <w:sz w:val="25"/>
          <w:szCs w:val="25"/>
        </w:rPr>
        <w:t>Revenue and Finance,</w:t>
      </w:r>
      <w:r w:rsidR="00D81B4E">
        <w:rPr>
          <w:rFonts w:ascii="Bookman Old Style" w:hAnsi="Bookman Old Style" w:cs="Times New Roman"/>
          <w:sz w:val="25"/>
          <w:szCs w:val="25"/>
        </w:rPr>
        <w:t xml:space="preserve"> Section 3.17.100 –</w:t>
      </w:r>
      <w:r w:rsidR="00576F1C">
        <w:rPr>
          <w:rFonts w:ascii="Bookman Old Style" w:hAnsi="Bookman Old Style" w:cs="Times New Roman"/>
          <w:sz w:val="25"/>
          <w:szCs w:val="25"/>
        </w:rPr>
        <w:t xml:space="preserve">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D81B4E">
        <w:rPr>
          <w:rFonts w:ascii="Bookman Old Style" w:hAnsi="Bookman Old Style" w:cs="Times New Roman"/>
          <w:sz w:val="25"/>
          <w:szCs w:val="25"/>
        </w:rPr>
        <w:t xml:space="preserve">Exemptions, </w:t>
      </w:r>
      <w:r>
        <w:rPr>
          <w:rFonts w:ascii="Bookman Old Style" w:hAnsi="Bookman Old Style" w:cs="Times New Roman"/>
          <w:sz w:val="25"/>
          <w:szCs w:val="25"/>
        </w:rPr>
        <w:t>Sectio</w:t>
      </w:r>
      <w:r w:rsidR="00D81B4E">
        <w:rPr>
          <w:rFonts w:ascii="Bookman Old Style" w:hAnsi="Bookman Old Style" w:cs="Times New Roman"/>
          <w:sz w:val="25"/>
          <w:szCs w:val="25"/>
        </w:rPr>
        <w:t xml:space="preserve">n 3.17.110 Sales Tax </w:t>
      </w:r>
      <w:r w:rsidR="002414F0">
        <w:rPr>
          <w:rFonts w:ascii="Bookman Old Style" w:hAnsi="Bookman Old Style" w:cs="Times New Roman"/>
          <w:sz w:val="25"/>
          <w:szCs w:val="25"/>
        </w:rPr>
        <w:t xml:space="preserve">Exemption </w:t>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sidR="00F07E89">
        <w:rPr>
          <w:rFonts w:ascii="Bookman Old Style" w:hAnsi="Bookman Old Style" w:cs="Times New Roman"/>
          <w:sz w:val="25"/>
          <w:szCs w:val="25"/>
        </w:rPr>
        <w:tab/>
      </w:r>
      <w:r>
        <w:rPr>
          <w:rFonts w:ascii="Bookman Old Style" w:hAnsi="Bookman Old Style" w:cs="Times New Roman"/>
          <w:sz w:val="25"/>
          <w:szCs w:val="25"/>
        </w:rPr>
        <w:t>for the elderly; is hereby amended.</w:t>
      </w:r>
    </w:p>
    <w:p w:rsidR="0017458B" w:rsidRDefault="0017458B" w:rsidP="00A85722">
      <w:pPr>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r>
        <w:rPr>
          <w:rFonts w:ascii="Bookman Old Style" w:hAnsi="Bookman Old Style" w:cs="Times New Roman"/>
          <w:sz w:val="25"/>
          <w:szCs w:val="25"/>
        </w:rPr>
        <w:tab/>
      </w:r>
      <w:r>
        <w:rPr>
          <w:rFonts w:ascii="Bookman Old Style" w:hAnsi="Bookman Old Style" w:cs="Times New Roman"/>
          <w:sz w:val="25"/>
          <w:szCs w:val="25"/>
        </w:rPr>
        <w:tab/>
        <w:t>Section 4.</w:t>
      </w:r>
      <w:r>
        <w:rPr>
          <w:rFonts w:ascii="Bookman Old Style" w:hAnsi="Bookman Old Style" w:cs="Times New Roman"/>
          <w:sz w:val="25"/>
          <w:szCs w:val="25"/>
        </w:rPr>
        <w:tab/>
      </w:r>
      <w:r>
        <w:rPr>
          <w:rFonts w:ascii="Bookman Old Style" w:hAnsi="Bookman Old Style" w:cs="Times New Roman"/>
          <w:sz w:val="25"/>
          <w:szCs w:val="25"/>
          <w:u w:val="single"/>
        </w:rPr>
        <w:t>Effective Date</w:t>
      </w:r>
      <w:r>
        <w:rPr>
          <w:rFonts w:ascii="Bookman Old Style" w:hAnsi="Bookman Old Style" w:cs="Times New Roman"/>
          <w:sz w:val="25"/>
          <w:szCs w:val="25"/>
        </w:rPr>
        <w:t xml:space="preserve">. This ordinance </w:t>
      </w:r>
      <w:r w:rsidR="00944E62">
        <w:rPr>
          <w:rFonts w:ascii="Bookman Old Style" w:hAnsi="Bookman Old Style" w:cs="Times New Roman"/>
          <w:sz w:val="25"/>
          <w:szCs w:val="25"/>
        </w:rPr>
        <w:t xml:space="preserve">shall become effective </w:t>
      </w:r>
      <w:r w:rsidR="00944E62">
        <w:rPr>
          <w:rFonts w:ascii="Bookman Old Style" w:hAnsi="Bookman Old Style" w:cs="Times New Roman"/>
          <w:sz w:val="25"/>
          <w:szCs w:val="25"/>
        </w:rPr>
        <w:tab/>
      </w:r>
      <w:r w:rsidR="00944E62">
        <w:rPr>
          <w:rFonts w:ascii="Bookman Old Style" w:hAnsi="Bookman Old Style" w:cs="Times New Roman"/>
          <w:sz w:val="25"/>
          <w:szCs w:val="25"/>
        </w:rPr>
        <w:tab/>
      </w:r>
      <w:r w:rsidR="00944E62">
        <w:rPr>
          <w:rFonts w:ascii="Bookman Old Style" w:hAnsi="Bookman Old Style" w:cs="Times New Roman"/>
          <w:sz w:val="25"/>
          <w:szCs w:val="25"/>
        </w:rPr>
        <w:tab/>
      </w:r>
      <w:r w:rsidR="00944E62">
        <w:rPr>
          <w:rFonts w:ascii="Bookman Old Style" w:hAnsi="Bookman Old Style" w:cs="Times New Roman"/>
          <w:sz w:val="25"/>
          <w:szCs w:val="25"/>
        </w:rPr>
        <w:tab/>
      </w:r>
      <w:r w:rsidR="00944E62">
        <w:rPr>
          <w:rFonts w:ascii="Bookman Old Style" w:hAnsi="Bookman Old Style" w:cs="Times New Roman"/>
          <w:sz w:val="25"/>
          <w:szCs w:val="25"/>
        </w:rPr>
        <w:tab/>
        <w:t xml:space="preserve">upon </w:t>
      </w:r>
      <w:r w:rsidR="00944E62">
        <w:rPr>
          <w:rFonts w:ascii="Bookman Old Style" w:hAnsi="Bookman Old Style" w:cs="Times New Roman"/>
          <w:sz w:val="25"/>
          <w:szCs w:val="25"/>
        </w:rPr>
        <w:tab/>
      </w:r>
      <w:r>
        <w:rPr>
          <w:rFonts w:ascii="Bookman Old Style" w:hAnsi="Bookman Old Style" w:cs="Times New Roman"/>
          <w:sz w:val="25"/>
          <w:szCs w:val="25"/>
        </w:rPr>
        <w:t>adoption.</w:t>
      </w:r>
    </w:p>
    <w:p w:rsidR="0017458B" w:rsidRDefault="0017458B" w:rsidP="00A85722">
      <w:pPr>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r>
        <w:rPr>
          <w:rFonts w:ascii="Bookman Old Style" w:hAnsi="Bookman Old Style" w:cs="Times New Roman"/>
          <w:sz w:val="25"/>
          <w:szCs w:val="25"/>
        </w:rPr>
        <w:t xml:space="preserve">PASSED AND APPROVED </w:t>
      </w:r>
      <w:r w:rsidR="007D21DB">
        <w:rPr>
          <w:rFonts w:ascii="Bookman Old Style" w:hAnsi="Bookman Old Style" w:cs="Times New Roman"/>
          <w:sz w:val="25"/>
          <w:szCs w:val="25"/>
        </w:rPr>
        <w:t>September 19</w:t>
      </w:r>
      <w:r>
        <w:rPr>
          <w:rFonts w:ascii="Bookman Old Style" w:hAnsi="Bookman Old Style" w:cs="Times New Roman"/>
          <w:sz w:val="25"/>
          <w:szCs w:val="25"/>
        </w:rPr>
        <w:t>, 2017</w:t>
      </w:r>
    </w:p>
    <w:p w:rsidR="0017458B" w:rsidRDefault="0017458B" w:rsidP="00A85722">
      <w:pPr>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p>
    <w:p w:rsidR="0017458B" w:rsidRDefault="0017458B" w:rsidP="00A85722">
      <w:pPr>
        <w:jc w:val="right"/>
        <w:rPr>
          <w:rFonts w:ascii="Bookman Old Style" w:hAnsi="Bookman Old Style" w:cs="Times New Roman"/>
          <w:sz w:val="25"/>
          <w:szCs w:val="25"/>
        </w:rPr>
      </w:pPr>
      <w:r>
        <w:rPr>
          <w:rFonts w:ascii="Bookman Old Style" w:hAnsi="Bookman Old Style" w:cs="Times New Roman"/>
          <w:sz w:val="25"/>
          <w:szCs w:val="25"/>
        </w:rPr>
        <w:t>_____________________________</w:t>
      </w:r>
    </w:p>
    <w:p w:rsidR="0017458B" w:rsidRDefault="0017458B" w:rsidP="00A85722">
      <w:pPr>
        <w:jc w:val="right"/>
        <w:rPr>
          <w:rFonts w:ascii="Bookman Old Style" w:hAnsi="Bookman Old Style" w:cs="Times New Roman"/>
          <w:sz w:val="25"/>
          <w:szCs w:val="25"/>
        </w:rPr>
      </w:pPr>
      <w:r>
        <w:rPr>
          <w:rFonts w:ascii="Bookman Old Style" w:hAnsi="Bookman Old Style" w:cs="Times New Roman"/>
          <w:sz w:val="25"/>
          <w:szCs w:val="25"/>
        </w:rPr>
        <w:t>James Gould, Mayor</w:t>
      </w:r>
    </w:p>
    <w:p w:rsidR="0017458B" w:rsidRDefault="0017458B" w:rsidP="00A85722">
      <w:pPr>
        <w:jc w:val="right"/>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r>
        <w:rPr>
          <w:rFonts w:ascii="Bookman Old Style" w:hAnsi="Bookman Old Style" w:cs="Times New Roman"/>
          <w:sz w:val="25"/>
          <w:szCs w:val="25"/>
        </w:rPr>
        <w:t>ATTEST:</w:t>
      </w:r>
    </w:p>
    <w:p w:rsidR="0017458B" w:rsidRDefault="0017458B" w:rsidP="00A85722">
      <w:pPr>
        <w:rPr>
          <w:rFonts w:ascii="Bookman Old Style" w:hAnsi="Bookman Old Style" w:cs="Times New Roman"/>
          <w:sz w:val="25"/>
          <w:szCs w:val="25"/>
        </w:rPr>
      </w:pPr>
    </w:p>
    <w:p w:rsidR="0017458B" w:rsidRDefault="0017458B" w:rsidP="00A85722">
      <w:pPr>
        <w:rPr>
          <w:rFonts w:ascii="Bookman Old Style" w:hAnsi="Bookman Old Style" w:cs="Times New Roman"/>
          <w:sz w:val="25"/>
          <w:szCs w:val="25"/>
        </w:rPr>
      </w:pPr>
      <w:r>
        <w:rPr>
          <w:rFonts w:ascii="Bookman Old Style" w:hAnsi="Bookman Old Style" w:cs="Times New Roman"/>
          <w:sz w:val="25"/>
          <w:szCs w:val="25"/>
        </w:rPr>
        <w:t>____________________________________</w:t>
      </w:r>
    </w:p>
    <w:p w:rsidR="0017458B" w:rsidRDefault="0017458B" w:rsidP="00A85722">
      <w:pPr>
        <w:rPr>
          <w:rFonts w:ascii="Bookman Old Style" w:hAnsi="Bookman Old Style" w:cs="Times New Roman"/>
          <w:sz w:val="25"/>
          <w:szCs w:val="25"/>
        </w:rPr>
      </w:pPr>
      <w:r>
        <w:rPr>
          <w:rFonts w:ascii="Bookman Old Style" w:hAnsi="Bookman Old Style" w:cs="Times New Roman"/>
          <w:sz w:val="25"/>
          <w:szCs w:val="25"/>
        </w:rPr>
        <w:t>Teri Feibel, CMC</w:t>
      </w:r>
    </w:p>
    <w:p w:rsidR="0017458B" w:rsidRDefault="0017458B" w:rsidP="00A85722">
      <w:pPr>
        <w:rPr>
          <w:rFonts w:ascii="Bookman Old Style" w:hAnsi="Bookman Old Style" w:cs="Times New Roman"/>
          <w:sz w:val="25"/>
          <w:szCs w:val="25"/>
        </w:rPr>
      </w:pPr>
    </w:p>
    <w:p w:rsidR="0017458B" w:rsidRDefault="0017458B" w:rsidP="00A85722">
      <w:pPr>
        <w:jc w:val="center"/>
        <w:rPr>
          <w:rFonts w:ascii="Bookman Old Style" w:hAnsi="Bookman Old Style" w:cs="Times New Roman"/>
          <w:sz w:val="25"/>
          <w:szCs w:val="25"/>
        </w:rPr>
      </w:pPr>
      <w:r>
        <w:rPr>
          <w:rFonts w:ascii="Bookman Old Style" w:hAnsi="Bookman Old Style" w:cs="Times New Roman"/>
          <w:sz w:val="25"/>
          <w:szCs w:val="25"/>
        </w:rPr>
        <w:t xml:space="preserve"> [Introduction: </w:t>
      </w:r>
      <w:r w:rsidR="007D21DB">
        <w:rPr>
          <w:rFonts w:ascii="Bookman Old Style" w:hAnsi="Bookman Old Style" w:cs="Times New Roman"/>
          <w:sz w:val="25"/>
          <w:szCs w:val="25"/>
        </w:rPr>
        <w:t>September 5</w:t>
      </w:r>
      <w:r>
        <w:rPr>
          <w:rFonts w:ascii="Bookman Old Style" w:hAnsi="Bookman Old Style" w:cs="Times New Roman"/>
          <w:sz w:val="25"/>
          <w:szCs w:val="25"/>
        </w:rPr>
        <w:t>, 2017]</w:t>
      </w:r>
    </w:p>
    <w:p w:rsidR="0017458B" w:rsidRDefault="0017458B" w:rsidP="00A85722">
      <w:pPr>
        <w:jc w:val="center"/>
        <w:rPr>
          <w:rFonts w:ascii="Bookman Old Style" w:hAnsi="Bookman Old Style" w:cs="Times New Roman"/>
          <w:sz w:val="25"/>
          <w:szCs w:val="25"/>
        </w:rPr>
      </w:pPr>
      <w:r>
        <w:rPr>
          <w:rFonts w:ascii="Bookman Old Style" w:hAnsi="Bookman Old Style" w:cs="Times New Roman"/>
          <w:sz w:val="25"/>
          <w:szCs w:val="25"/>
        </w:rPr>
        <w:t xml:space="preserve">[Public Hearing: </w:t>
      </w:r>
      <w:r w:rsidR="007D21DB">
        <w:rPr>
          <w:rFonts w:ascii="Bookman Old Style" w:hAnsi="Bookman Old Style" w:cs="Times New Roman"/>
          <w:sz w:val="25"/>
          <w:szCs w:val="25"/>
        </w:rPr>
        <w:t>September 19,</w:t>
      </w:r>
      <w:r>
        <w:rPr>
          <w:rFonts w:ascii="Bookman Old Style" w:hAnsi="Bookman Old Style" w:cs="Times New Roman"/>
          <w:sz w:val="25"/>
          <w:szCs w:val="25"/>
        </w:rPr>
        <w:t xml:space="preserve"> 2017]</w:t>
      </w:r>
    </w:p>
    <w:p w:rsidR="00FB3387" w:rsidRDefault="00FB3387" w:rsidP="00A85722">
      <w:pPr>
        <w:jc w:val="center"/>
        <w:rPr>
          <w:rFonts w:ascii="Bookman Old Style" w:hAnsi="Bookman Old Style" w:cs="Times New Roman"/>
          <w:sz w:val="25"/>
          <w:szCs w:val="25"/>
        </w:rPr>
      </w:pPr>
    </w:p>
    <w:p w:rsidR="00024835" w:rsidRPr="00873AF4" w:rsidRDefault="0017458B" w:rsidP="00A85722">
      <w:pPr>
        <w:rPr>
          <w:rFonts w:ascii="Bookman Old Style" w:hAnsi="Bookman Old Style" w:cs="Times New Roman"/>
          <w:b/>
          <w:color w:val="1F3864" w:themeColor="accent1" w:themeShade="80"/>
          <w:sz w:val="25"/>
          <w:szCs w:val="25"/>
        </w:rPr>
      </w:pPr>
      <w:r w:rsidRPr="00873AF4">
        <w:rPr>
          <w:rFonts w:ascii="Bookman Old Style" w:hAnsi="Bookman Old Style" w:cs="Times New Roman"/>
          <w:b/>
          <w:color w:val="1F3864" w:themeColor="accent1" w:themeShade="80"/>
          <w:sz w:val="25"/>
          <w:szCs w:val="25"/>
        </w:rPr>
        <w:lastRenderedPageBreak/>
        <w:t>Additions are in bold</w:t>
      </w:r>
    </w:p>
    <w:p w:rsidR="00111621" w:rsidRPr="00873AF4" w:rsidRDefault="00111621" w:rsidP="00A85722">
      <w:pPr>
        <w:rPr>
          <w:rFonts w:ascii="Bookman Old Style" w:hAnsi="Bookman Old Style" w:cs="Times New Roman"/>
          <w:strike/>
          <w:color w:val="1F3864" w:themeColor="accent1" w:themeShade="80"/>
          <w:sz w:val="25"/>
          <w:szCs w:val="25"/>
        </w:rPr>
      </w:pPr>
      <w:r w:rsidRPr="00873AF4">
        <w:rPr>
          <w:rFonts w:ascii="Bookman Old Style" w:hAnsi="Bookman Old Style" w:cs="Times New Roman"/>
          <w:strike/>
          <w:color w:val="1F3864" w:themeColor="accent1" w:themeShade="80"/>
          <w:sz w:val="25"/>
          <w:szCs w:val="25"/>
        </w:rPr>
        <w:t>Deletions are stricken</w:t>
      </w:r>
    </w:p>
    <w:p w:rsidR="00FB3387" w:rsidRPr="00CE1E33" w:rsidRDefault="00FB3387" w:rsidP="00A85722">
      <w:pPr>
        <w:rPr>
          <w:rFonts w:ascii="Bookman Old Style" w:hAnsi="Bookman Old Style" w:cs="Times New Roman"/>
          <w:strike/>
          <w:sz w:val="12"/>
          <w:szCs w:val="12"/>
        </w:rPr>
      </w:pPr>
    </w:p>
    <w:p w:rsidR="0017458B" w:rsidRPr="009A51CE" w:rsidRDefault="0017458B" w:rsidP="00A85722">
      <w:pPr>
        <w:jc w:val="center"/>
        <w:rPr>
          <w:rFonts w:ascii="Bookman Old Style" w:hAnsi="Bookman Old Style" w:cs="Times New Roman"/>
          <w:b/>
          <w:sz w:val="25"/>
          <w:szCs w:val="25"/>
        </w:rPr>
      </w:pPr>
      <w:r w:rsidRPr="009A51CE">
        <w:rPr>
          <w:rFonts w:ascii="Bookman Old Style" w:hAnsi="Bookman Old Style" w:cs="Times New Roman"/>
          <w:b/>
          <w:sz w:val="25"/>
          <w:szCs w:val="25"/>
        </w:rPr>
        <w:t>Title 3 – Revenue and Finance</w:t>
      </w:r>
    </w:p>
    <w:p w:rsidR="0017458B" w:rsidRDefault="0017458B" w:rsidP="00A85722">
      <w:pPr>
        <w:jc w:val="center"/>
        <w:rPr>
          <w:rFonts w:ascii="Bookman Old Style" w:hAnsi="Bookman Old Style" w:cs="Times New Roman"/>
          <w:b/>
          <w:sz w:val="25"/>
          <w:szCs w:val="25"/>
        </w:rPr>
      </w:pPr>
      <w:r w:rsidRPr="009A51CE">
        <w:rPr>
          <w:rFonts w:ascii="Bookman Old Style" w:hAnsi="Bookman Old Style" w:cs="Times New Roman"/>
          <w:b/>
          <w:sz w:val="25"/>
          <w:szCs w:val="25"/>
        </w:rPr>
        <w:t>Chapter 3.17 – Sales Tax</w:t>
      </w:r>
    </w:p>
    <w:p w:rsidR="00834A62" w:rsidRDefault="00E83027" w:rsidP="008F4627">
      <w:pPr>
        <w:rPr>
          <w:rFonts w:ascii="Bookman Old Style" w:hAnsi="Bookman Old Style" w:cs="Times New Roman"/>
          <w:b/>
          <w:sz w:val="25"/>
          <w:szCs w:val="25"/>
        </w:rPr>
      </w:pPr>
      <w:r>
        <w:rPr>
          <w:rFonts w:ascii="Bookman Old Style" w:hAnsi="Bookman Old Style" w:cs="Times New Roman"/>
          <w:b/>
          <w:sz w:val="25"/>
          <w:szCs w:val="25"/>
        </w:rPr>
        <w:t>Section</w:t>
      </w:r>
      <w:r w:rsidR="00834A62">
        <w:rPr>
          <w:rFonts w:ascii="Bookman Old Style" w:hAnsi="Bookman Old Style" w:cs="Times New Roman"/>
          <w:b/>
          <w:sz w:val="25"/>
          <w:szCs w:val="25"/>
        </w:rPr>
        <w:t>s</w:t>
      </w:r>
      <w:r>
        <w:rPr>
          <w:rFonts w:ascii="Bookman Old Style" w:hAnsi="Bookman Old Style" w:cs="Times New Roman"/>
          <w:b/>
          <w:sz w:val="25"/>
          <w:szCs w:val="25"/>
        </w:rPr>
        <w:t xml:space="preserve">: </w:t>
      </w:r>
    </w:p>
    <w:p w:rsidR="00E83027" w:rsidRDefault="008F4627" w:rsidP="008F4627">
      <w:pPr>
        <w:rPr>
          <w:rFonts w:ascii="Bookman Old Style" w:hAnsi="Bookman Old Style" w:cs="Times New Roman"/>
          <w:b/>
          <w:sz w:val="25"/>
          <w:szCs w:val="25"/>
        </w:rPr>
      </w:pPr>
      <w:r>
        <w:rPr>
          <w:rFonts w:ascii="Bookman Old Style" w:hAnsi="Bookman Old Style" w:cs="Times New Roman"/>
          <w:b/>
          <w:sz w:val="25"/>
          <w:szCs w:val="25"/>
        </w:rPr>
        <w:tab/>
      </w:r>
      <w:r w:rsidR="00E83027">
        <w:rPr>
          <w:rFonts w:ascii="Bookman Old Style" w:hAnsi="Bookman Old Style" w:cs="Times New Roman"/>
          <w:b/>
          <w:sz w:val="25"/>
          <w:szCs w:val="25"/>
        </w:rPr>
        <w:t xml:space="preserve">3.17.100 – Exemptions &amp; </w:t>
      </w:r>
    </w:p>
    <w:p w:rsidR="00E83027" w:rsidRPr="009A51CE" w:rsidRDefault="008F4627" w:rsidP="008F4627">
      <w:pPr>
        <w:rPr>
          <w:rFonts w:ascii="Bookman Old Style" w:hAnsi="Bookman Old Style" w:cs="Times New Roman"/>
          <w:b/>
          <w:sz w:val="25"/>
          <w:szCs w:val="25"/>
        </w:rPr>
      </w:pPr>
      <w:r>
        <w:rPr>
          <w:rFonts w:ascii="Bookman Old Style" w:hAnsi="Bookman Old Style" w:cs="Times New Roman"/>
          <w:b/>
          <w:sz w:val="25"/>
          <w:szCs w:val="25"/>
        </w:rPr>
        <w:tab/>
      </w:r>
      <w:r w:rsidR="00E83027">
        <w:rPr>
          <w:rFonts w:ascii="Bookman Old Style" w:hAnsi="Bookman Old Style" w:cs="Times New Roman"/>
          <w:b/>
          <w:sz w:val="25"/>
          <w:szCs w:val="25"/>
        </w:rPr>
        <w:t>3.17.110</w:t>
      </w:r>
      <w:r w:rsidR="00834A62">
        <w:rPr>
          <w:rFonts w:ascii="Bookman Old Style" w:hAnsi="Bookman Old Style" w:cs="Times New Roman"/>
          <w:b/>
          <w:sz w:val="25"/>
          <w:szCs w:val="25"/>
        </w:rPr>
        <w:t xml:space="preserve"> – Sales </w:t>
      </w:r>
      <w:r w:rsidR="00E83027">
        <w:rPr>
          <w:rFonts w:ascii="Bookman Old Style" w:hAnsi="Bookman Old Style" w:cs="Times New Roman"/>
          <w:b/>
          <w:sz w:val="25"/>
          <w:szCs w:val="25"/>
        </w:rPr>
        <w:t xml:space="preserve">tax exemption for the elderly </w:t>
      </w:r>
    </w:p>
    <w:p w:rsidR="00FE0F8D" w:rsidRDefault="00FE0F8D" w:rsidP="00A85722">
      <w:pPr>
        <w:rPr>
          <w:rFonts w:ascii="Bookman Old Style" w:hAnsi="Bookman Old Style" w:cs="Times New Roman"/>
          <w:sz w:val="16"/>
          <w:szCs w:val="16"/>
        </w:rPr>
      </w:pPr>
    </w:p>
    <w:p w:rsidR="00A85722" w:rsidRPr="00931D7D" w:rsidRDefault="00A85722" w:rsidP="00A85722">
      <w:pPr>
        <w:widowControl w:val="0"/>
        <w:autoSpaceDE w:val="0"/>
        <w:autoSpaceDN w:val="0"/>
        <w:adjustRightInd w:val="0"/>
        <w:rPr>
          <w:i/>
        </w:rPr>
      </w:pPr>
      <w:r w:rsidRPr="00931D7D">
        <w:rPr>
          <w:rFonts w:ascii="Arial" w:hAnsi="Arial" w:cs="Arial"/>
          <w:b/>
          <w:i/>
          <w:u w:val="single"/>
        </w:rPr>
        <w:t>Section:</w:t>
      </w:r>
      <w:r w:rsidRPr="00931D7D">
        <w:rPr>
          <w:rFonts w:ascii="Arial" w:hAnsi="Arial" w:cs="Arial"/>
          <w:b/>
          <w:bCs/>
          <w:i/>
          <w:u w:val="single"/>
        </w:rPr>
        <w:t xml:space="preserve"> 3.17.100 Exemptions</w:t>
      </w:r>
      <w:r w:rsidRPr="00931D7D">
        <w:rPr>
          <w:rFonts w:ascii="Arial" w:hAnsi="Arial" w:cs="Arial"/>
          <w:bCs/>
          <w:i/>
        </w:rPr>
        <w:t xml:space="preserve">. </w:t>
      </w:r>
      <w:r w:rsidRPr="00931D7D">
        <w:rPr>
          <w:rFonts w:ascii="Arial" w:hAnsi="Arial" w:cs="Arial"/>
          <w:i/>
        </w:rPr>
        <w:t xml:space="preserve">The following sales and services are exempt from the sales tax: </w:t>
      </w:r>
    </w:p>
    <w:p w:rsidR="00E00A92" w:rsidRPr="00FB3387" w:rsidRDefault="00E00A92" w:rsidP="00A85722">
      <w:pPr>
        <w:widowControl w:val="0"/>
        <w:autoSpaceDE w:val="0"/>
        <w:autoSpaceDN w:val="0"/>
        <w:adjustRightInd w:val="0"/>
        <w:rPr>
          <w:rFonts w:ascii="Arial Narrow" w:hAnsi="Arial Narrow" w:cs="Tahoma"/>
          <w:b/>
          <w:bCs/>
          <w:sz w:val="14"/>
          <w:szCs w:val="14"/>
        </w:rPr>
      </w:pPr>
    </w:p>
    <w:p w:rsidR="00375469" w:rsidRPr="00375469" w:rsidRDefault="00410230" w:rsidP="00A85722">
      <w:pPr>
        <w:widowControl w:val="0"/>
        <w:autoSpaceDE w:val="0"/>
        <w:autoSpaceDN w:val="0"/>
        <w:adjustRightInd w:val="0"/>
        <w:rPr>
          <w:rFonts w:ascii="Arial" w:hAnsi="Arial" w:cs="Arial"/>
          <w:b/>
          <w:bCs/>
        </w:rPr>
      </w:pPr>
      <w:r w:rsidRPr="0013044A">
        <w:rPr>
          <w:rFonts w:ascii="Arial" w:hAnsi="Arial" w:cs="Arial"/>
          <w:b/>
          <w:bCs/>
          <w:highlight w:val="yellow"/>
        </w:rPr>
        <w:t>CURRENT CODE READS:</w:t>
      </w:r>
    </w:p>
    <w:p w:rsidR="00A85722" w:rsidRPr="00AC6ABD" w:rsidRDefault="00A85722" w:rsidP="00A85722">
      <w:pPr>
        <w:widowControl w:val="0"/>
        <w:autoSpaceDE w:val="0"/>
        <w:autoSpaceDN w:val="0"/>
        <w:adjustRightInd w:val="0"/>
        <w:rPr>
          <w:rFonts w:ascii="Arial Narrow" w:hAnsi="Arial Narrow" w:cs="Tahoma"/>
          <w:sz w:val="18"/>
          <w:szCs w:val="18"/>
        </w:rPr>
      </w:pPr>
      <w:r w:rsidRPr="008C5077">
        <w:rPr>
          <w:rFonts w:ascii="Arial Narrow" w:hAnsi="Arial Narrow" w:cs="Tahoma"/>
          <w:b/>
          <w:bCs/>
          <w:sz w:val="26"/>
          <w:szCs w:val="26"/>
        </w:rPr>
        <w:t>y)</w:t>
      </w:r>
      <w:r w:rsidRPr="008C5077">
        <w:rPr>
          <w:rFonts w:ascii="Arial Narrow" w:hAnsi="Arial Narrow" w:cs="Tahoma"/>
          <w:b/>
          <w:bCs/>
          <w:color w:val="FF0000"/>
          <w:sz w:val="26"/>
          <w:szCs w:val="26"/>
        </w:rPr>
        <w:t xml:space="preserve"> </w:t>
      </w:r>
      <w:r w:rsidRPr="008C5077">
        <w:rPr>
          <w:rFonts w:ascii="Arial Narrow" w:hAnsi="Arial Narrow" w:cs="Tahoma"/>
          <w:sz w:val="26"/>
          <w:szCs w:val="26"/>
        </w:rPr>
        <w:t xml:space="preserve">Gross receipts in excess of ten thousand dollars derived from sales of material and labor for the clearing of land, excavation, or fill or placement of material on real property for construction of a facility, and sales of building construction materials and labor used in constructing a permanent building within the city, provided that the improvements are constructed pursuant to a valid sales tax exemption permit issued </w:t>
      </w:r>
      <w:r w:rsidRPr="0090288F">
        <w:rPr>
          <w:rFonts w:ascii="Arial Narrow" w:hAnsi="Arial Narrow" w:cs="Tahoma"/>
          <w:strike/>
          <w:color w:val="1F3864" w:themeColor="accent1" w:themeShade="80"/>
          <w:sz w:val="26"/>
          <w:szCs w:val="26"/>
        </w:rPr>
        <w:t>or renewed no more than one year</w:t>
      </w:r>
      <w:r w:rsidRPr="0090288F">
        <w:rPr>
          <w:rFonts w:ascii="Arial Narrow" w:hAnsi="Arial Narrow" w:cs="Tahoma"/>
          <w:color w:val="1F3864" w:themeColor="accent1" w:themeShade="80"/>
          <w:sz w:val="26"/>
          <w:szCs w:val="26"/>
        </w:rPr>
        <w:t xml:space="preserve"> </w:t>
      </w:r>
      <w:r w:rsidRPr="008C5077">
        <w:rPr>
          <w:rFonts w:ascii="Arial Narrow" w:hAnsi="Arial Narrow" w:cs="Tahoma"/>
          <w:sz w:val="26"/>
          <w:szCs w:val="26"/>
        </w:rPr>
        <w:t xml:space="preserve">prior to </w:t>
      </w:r>
      <w:r w:rsidRPr="0090288F">
        <w:rPr>
          <w:rFonts w:ascii="Arial Narrow" w:hAnsi="Arial Narrow" w:cs="Tahoma"/>
          <w:strike/>
          <w:color w:val="1F3864" w:themeColor="accent1" w:themeShade="80"/>
          <w:sz w:val="26"/>
          <w:szCs w:val="26"/>
        </w:rPr>
        <w:t>the sale of</w:t>
      </w:r>
      <w:r w:rsidRPr="0090288F">
        <w:rPr>
          <w:rFonts w:ascii="Arial Narrow" w:hAnsi="Arial Narrow" w:cs="Tahoma"/>
          <w:color w:val="1F3864" w:themeColor="accent1" w:themeShade="80"/>
          <w:sz w:val="26"/>
          <w:szCs w:val="26"/>
        </w:rPr>
        <w:t xml:space="preserve"> </w:t>
      </w:r>
      <w:r w:rsidRPr="008C5077">
        <w:rPr>
          <w:rFonts w:ascii="Arial Narrow" w:hAnsi="Arial Narrow" w:cs="Tahoma"/>
          <w:sz w:val="26"/>
          <w:szCs w:val="26"/>
        </w:rPr>
        <w:t>transaction being exempted from the tax.</w:t>
      </w:r>
      <w:r w:rsidRPr="00C87421">
        <w:rPr>
          <w:rFonts w:ascii="Arial Narrow" w:hAnsi="Arial Narrow" w:cs="Tahoma"/>
          <w:color w:val="4472C4" w:themeColor="accent1"/>
          <w:sz w:val="26"/>
          <w:szCs w:val="26"/>
        </w:rPr>
        <w:t xml:space="preserve">  </w:t>
      </w:r>
      <w:r w:rsidRPr="008C5077">
        <w:rPr>
          <w:rFonts w:ascii="Arial Narrow" w:hAnsi="Arial Narrow" w:cs="Tahoma"/>
          <w:sz w:val="26"/>
          <w:szCs w:val="26"/>
        </w:rPr>
        <w:t>Construction materials shall include: all structural and finish materials for a permanent building used on the lot wherein the building is being constructed, and installation of infrastructure to said building such as water, sewer, power and phone and all parts to said infrastructure. Sales, to qualify for this exemption, shall be recorded by the seller, together with the date, the purchaser's name, and the sales tax exemption permit number.</w:t>
      </w:r>
      <w:r>
        <w:rPr>
          <w:rFonts w:ascii="Arial Narrow" w:hAnsi="Arial Narrow" w:cs="Tahoma"/>
          <w:sz w:val="26"/>
          <w:szCs w:val="26"/>
        </w:rPr>
        <w:t xml:space="preserve"> </w:t>
      </w:r>
      <w:r w:rsidRPr="008C5077">
        <w:rPr>
          <w:rFonts w:ascii="Arial Narrow" w:hAnsi="Arial Narrow" w:cs="Tahoma"/>
          <w:sz w:val="26"/>
          <w:szCs w:val="26"/>
        </w:rPr>
        <w:t xml:space="preserve"> Any purchaser who attempts to avoid paying sales tax by using a sales tax exemption permit number for materials or labor not actually used in the structure for which the permit was issued shall be subject to a civil penalty up to twenty-five percent of the price of the materials or labor involved in the evasive purchase. The cost of the permit will be six hundred dollars; 3.16.050</w:t>
      </w:r>
      <w:r w:rsidRPr="00AC6ABD">
        <w:rPr>
          <w:rFonts w:ascii="Arial Narrow" w:hAnsi="Arial Narrow" w:cs="Tahoma"/>
          <w:sz w:val="18"/>
          <w:szCs w:val="18"/>
        </w:rPr>
        <w:t>. (Ordinance 05-09-06-01)(10-03-02-01)</w:t>
      </w:r>
    </w:p>
    <w:p w:rsidR="00FB3387" w:rsidRPr="00CE1E33" w:rsidRDefault="00FB3387" w:rsidP="00A85722">
      <w:pPr>
        <w:rPr>
          <w:rFonts w:ascii="Arial" w:hAnsi="Arial" w:cs="Arial"/>
          <w:b/>
          <w:sz w:val="12"/>
          <w:szCs w:val="12"/>
          <w:highlight w:val="yellow"/>
          <w:u w:val="single"/>
        </w:rPr>
      </w:pPr>
    </w:p>
    <w:p w:rsidR="00A85722" w:rsidRPr="00931D7D" w:rsidRDefault="00375469" w:rsidP="00A85722">
      <w:pPr>
        <w:rPr>
          <w:rFonts w:ascii="Arial" w:hAnsi="Arial" w:cs="Arial"/>
          <w:b/>
          <w:sz w:val="25"/>
          <w:szCs w:val="25"/>
          <w:u w:val="single"/>
        </w:rPr>
      </w:pPr>
      <w:r w:rsidRPr="00931D7D">
        <w:rPr>
          <w:rFonts w:ascii="Arial" w:hAnsi="Arial" w:cs="Arial"/>
          <w:b/>
          <w:sz w:val="25"/>
          <w:szCs w:val="25"/>
          <w:highlight w:val="yellow"/>
          <w:u w:val="single"/>
        </w:rPr>
        <w:t>AMENDED CODE</w:t>
      </w:r>
      <w:r w:rsidR="00410230" w:rsidRPr="00931D7D">
        <w:rPr>
          <w:rFonts w:ascii="Arial" w:hAnsi="Arial" w:cs="Arial"/>
          <w:b/>
          <w:sz w:val="25"/>
          <w:szCs w:val="25"/>
          <w:highlight w:val="yellow"/>
          <w:u w:val="single"/>
        </w:rPr>
        <w:t xml:space="preserve"> WILL READ</w:t>
      </w:r>
      <w:r w:rsidRPr="00931D7D">
        <w:rPr>
          <w:rFonts w:ascii="Arial" w:hAnsi="Arial" w:cs="Arial"/>
          <w:b/>
          <w:sz w:val="25"/>
          <w:szCs w:val="25"/>
          <w:highlight w:val="yellow"/>
          <w:u w:val="single"/>
        </w:rPr>
        <w:t>:</w:t>
      </w:r>
    </w:p>
    <w:p w:rsidR="00CD1164" w:rsidRPr="00AC6ABD" w:rsidRDefault="00CD1164" w:rsidP="00CD1164">
      <w:pPr>
        <w:widowControl w:val="0"/>
        <w:autoSpaceDE w:val="0"/>
        <w:autoSpaceDN w:val="0"/>
        <w:adjustRightInd w:val="0"/>
        <w:rPr>
          <w:rFonts w:ascii="Arial Narrow" w:hAnsi="Arial Narrow" w:cs="Tahoma"/>
          <w:sz w:val="18"/>
          <w:szCs w:val="18"/>
        </w:rPr>
      </w:pPr>
      <w:r w:rsidRPr="008C5077">
        <w:rPr>
          <w:rFonts w:ascii="Arial Narrow" w:hAnsi="Arial Narrow" w:cs="Tahoma"/>
          <w:b/>
          <w:bCs/>
          <w:sz w:val="26"/>
          <w:szCs w:val="26"/>
        </w:rPr>
        <w:t>y)</w:t>
      </w:r>
      <w:r w:rsidRPr="008C5077">
        <w:rPr>
          <w:rFonts w:ascii="Arial Narrow" w:hAnsi="Arial Narrow" w:cs="Tahoma"/>
          <w:b/>
          <w:bCs/>
          <w:color w:val="FF0000"/>
          <w:sz w:val="26"/>
          <w:szCs w:val="26"/>
        </w:rPr>
        <w:t xml:space="preserve"> </w:t>
      </w:r>
      <w:r w:rsidRPr="008C5077">
        <w:rPr>
          <w:rFonts w:ascii="Arial Narrow" w:hAnsi="Arial Narrow" w:cs="Tahoma"/>
          <w:sz w:val="26"/>
          <w:szCs w:val="26"/>
        </w:rPr>
        <w:t xml:space="preserve">Gross receipts in excess of ten thousand dollars derived from sales of material and labor for the clearing of land, excavation, or fill or placement of material on real property for construction of a facility, and sales of building construction materials and labor used in constructing a permanent building within the city, provided that the improvements are constructed pursuant to a valid sales tax exemption permit issued prior to </w:t>
      </w:r>
      <w:r w:rsidRPr="0090288F">
        <w:rPr>
          <w:rFonts w:ascii="Arial Narrow" w:hAnsi="Arial Narrow" w:cs="Tahoma"/>
          <w:b/>
          <w:color w:val="1F3864" w:themeColor="accent1" w:themeShade="80"/>
          <w:sz w:val="26"/>
          <w:szCs w:val="26"/>
          <w:u w:val="single"/>
        </w:rPr>
        <w:t>ANY</w:t>
      </w:r>
      <w:r>
        <w:rPr>
          <w:rFonts w:ascii="Arial Narrow" w:hAnsi="Arial Narrow" w:cs="Tahoma"/>
          <w:sz w:val="26"/>
          <w:szCs w:val="26"/>
        </w:rPr>
        <w:t xml:space="preserve"> </w:t>
      </w:r>
      <w:r w:rsidRPr="008C5077">
        <w:rPr>
          <w:rFonts w:ascii="Arial Narrow" w:hAnsi="Arial Narrow" w:cs="Tahoma"/>
          <w:sz w:val="26"/>
          <w:szCs w:val="26"/>
        </w:rPr>
        <w:t xml:space="preserve">transaction being exempted from the tax. </w:t>
      </w:r>
      <w:r w:rsidRPr="0090288F">
        <w:rPr>
          <w:rFonts w:ascii="Arial Narrow" w:hAnsi="Arial Narrow" w:cs="Tahoma"/>
          <w:b/>
          <w:color w:val="1F3864" w:themeColor="accent1" w:themeShade="80"/>
          <w:sz w:val="26"/>
          <w:szCs w:val="26"/>
          <w:u w:val="single"/>
        </w:rPr>
        <w:t>TAX EXEMPTION PERMITS ARE VALID FOR ONE YEAR AND FOR GOOD CAUSE MAY BE GRANTED 120 DAY EXTENSION.  ANY ADDITIONAL EXTENSION REQUESTS SHALL BE CHARGED ONE HALF THE TAX EXEMPTION PERMIT FEE.</w:t>
      </w:r>
      <w:r w:rsidRPr="0090288F">
        <w:rPr>
          <w:rFonts w:ascii="Arial Narrow" w:hAnsi="Arial Narrow" w:cs="Tahoma"/>
          <w:color w:val="1F3864" w:themeColor="accent1" w:themeShade="80"/>
          <w:sz w:val="26"/>
          <w:szCs w:val="26"/>
        </w:rPr>
        <w:t xml:space="preserve">  </w:t>
      </w:r>
      <w:r w:rsidRPr="008C5077">
        <w:rPr>
          <w:rFonts w:ascii="Arial Narrow" w:hAnsi="Arial Narrow" w:cs="Tahoma"/>
          <w:sz w:val="26"/>
          <w:szCs w:val="26"/>
        </w:rPr>
        <w:t>Construction materials shall include: all structural and finish materials for a permanent building used on the lot wherein the building is being constructed, and installation of infrastructure to said building such as water, sewer, power and phone and all parts to said infrastructure. Sales, to qualify for this exemption, shall be recorded by the seller, together with the date, the purchaser's name, and the sales tax exemption permit number.</w:t>
      </w:r>
      <w:r>
        <w:rPr>
          <w:rFonts w:ascii="Arial Narrow" w:hAnsi="Arial Narrow" w:cs="Tahoma"/>
          <w:sz w:val="26"/>
          <w:szCs w:val="26"/>
        </w:rPr>
        <w:t xml:space="preserve"> </w:t>
      </w:r>
      <w:r w:rsidRPr="008C5077">
        <w:rPr>
          <w:rFonts w:ascii="Arial Narrow" w:hAnsi="Arial Narrow" w:cs="Tahoma"/>
          <w:sz w:val="26"/>
          <w:szCs w:val="26"/>
        </w:rPr>
        <w:t xml:space="preserve"> Any purchaser who attempts to avoid paying sales tax by using a sales tax exemption permit number for materials or labor not actually used in the structure for which the permit was issued shall be subject to a civil penalty up to twenty-five percent of the price of the materials or labor involved in the evasive purchase. The cost of the permit will be six hundred dollars; 3.16.050</w:t>
      </w:r>
      <w:r w:rsidRPr="00AC6ABD">
        <w:rPr>
          <w:rFonts w:ascii="Arial Narrow" w:hAnsi="Arial Narrow" w:cs="Tahoma"/>
          <w:sz w:val="18"/>
          <w:szCs w:val="18"/>
        </w:rPr>
        <w:t>. (Ordinance 05-09-06-01)(10-03-02-01)</w:t>
      </w:r>
    </w:p>
    <w:p w:rsidR="00873AF4" w:rsidRPr="00873AF4" w:rsidRDefault="00873AF4" w:rsidP="00873AF4">
      <w:pPr>
        <w:rPr>
          <w:rFonts w:ascii="Bookman Old Style" w:hAnsi="Bookman Old Style" w:cs="Times New Roman"/>
          <w:b/>
          <w:color w:val="1F3864" w:themeColor="accent1" w:themeShade="80"/>
          <w:sz w:val="25"/>
          <w:szCs w:val="25"/>
        </w:rPr>
      </w:pPr>
      <w:bookmarkStart w:id="0" w:name="_GoBack"/>
      <w:bookmarkEnd w:id="0"/>
      <w:r w:rsidRPr="00873AF4">
        <w:rPr>
          <w:rFonts w:ascii="Bookman Old Style" w:hAnsi="Bookman Old Style" w:cs="Times New Roman"/>
          <w:b/>
          <w:color w:val="1F3864" w:themeColor="accent1" w:themeShade="80"/>
          <w:sz w:val="25"/>
          <w:szCs w:val="25"/>
        </w:rPr>
        <w:t>Additions are in bold</w:t>
      </w:r>
    </w:p>
    <w:p w:rsidR="00873AF4" w:rsidRPr="00873AF4" w:rsidRDefault="00873AF4" w:rsidP="00873AF4">
      <w:pPr>
        <w:rPr>
          <w:rFonts w:ascii="Bookman Old Style" w:hAnsi="Bookman Old Style" w:cs="Times New Roman"/>
          <w:strike/>
          <w:color w:val="1F3864" w:themeColor="accent1" w:themeShade="80"/>
          <w:sz w:val="25"/>
          <w:szCs w:val="25"/>
        </w:rPr>
      </w:pPr>
      <w:r w:rsidRPr="00873AF4">
        <w:rPr>
          <w:rFonts w:ascii="Bookman Old Style" w:hAnsi="Bookman Old Style" w:cs="Times New Roman"/>
          <w:strike/>
          <w:color w:val="1F3864" w:themeColor="accent1" w:themeShade="80"/>
          <w:sz w:val="25"/>
          <w:szCs w:val="25"/>
        </w:rPr>
        <w:t>Deletions are stricken</w:t>
      </w:r>
    </w:p>
    <w:p w:rsidR="00202FD6" w:rsidRDefault="00202FD6" w:rsidP="00FB3387">
      <w:pPr>
        <w:widowControl w:val="0"/>
        <w:autoSpaceDE w:val="0"/>
        <w:autoSpaceDN w:val="0"/>
        <w:adjustRightInd w:val="0"/>
        <w:rPr>
          <w:rFonts w:ascii="Arial" w:hAnsi="Arial" w:cs="Arial"/>
          <w:b/>
          <w:bCs/>
        </w:rPr>
      </w:pPr>
    </w:p>
    <w:p w:rsidR="00FB3387" w:rsidRPr="00931D7D" w:rsidRDefault="00FB3387" w:rsidP="00FB3387">
      <w:pPr>
        <w:widowControl w:val="0"/>
        <w:autoSpaceDE w:val="0"/>
        <w:autoSpaceDN w:val="0"/>
        <w:adjustRightInd w:val="0"/>
        <w:rPr>
          <w:i/>
        </w:rPr>
      </w:pPr>
      <w:r w:rsidRPr="00931D7D">
        <w:rPr>
          <w:rFonts w:ascii="Arial" w:hAnsi="Arial" w:cs="Arial"/>
          <w:b/>
          <w:i/>
          <w:u w:val="single"/>
        </w:rPr>
        <w:t>Section:</w:t>
      </w:r>
      <w:r w:rsidRPr="00931D7D">
        <w:rPr>
          <w:rFonts w:ascii="Arial" w:hAnsi="Arial" w:cs="Arial"/>
          <w:b/>
          <w:bCs/>
          <w:i/>
          <w:u w:val="single"/>
        </w:rPr>
        <w:t xml:space="preserve"> 3.17.1</w:t>
      </w:r>
      <w:r>
        <w:rPr>
          <w:rFonts w:ascii="Arial" w:hAnsi="Arial" w:cs="Arial"/>
          <w:b/>
          <w:bCs/>
          <w:i/>
          <w:u w:val="single"/>
        </w:rPr>
        <w:t>1</w:t>
      </w:r>
      <w:r w:rsidRPr="00931D7D">
        <w:rPr>
          <w:rFonts w:ascii="Arial" w:hAnsi="Arial" w:cs="Arial"/>
          <w:b/>
          <w:bCs/>
          <w:i/>
          <w:u w:val="single"/>
        </w:rPr>
        <w:t xml:space="preserve">0 </w:t>
      </w:r>
      <w:r w:rsidRPr="00FB3387">
        <w:rPr>
          <w:rFonts w:ascii="Arial" w:hAnsi="Arial" w:cs="Arial"/>
          <w:b/>
          <w:i/>
          <w:u w:val="single"/>
        </w:rPr>
        <w:t>Sales tax exemption for the elderly</w:t>
      </w:r>
      <w:r w:rsidRPr="00931D7D">
        <w:rPr>
          <w:rFonts w:ascii="Arial" w:hAnsi="Arial" w:cs="Arial"/>
          <w:bCs/>
          <w:i/>
        </w:rPr>
        <w:t xml:space="preserve">. </w:t>
      </w:r>
      <w:r w:rsidRPr="00931D7D">
        <w:rPr>
          <w:rFonts w:ascii="Arial" w:hAnsi="Arial" w:cs="Arial"/>
          <w:i/>
        </w:rPr>
        <w:t xml:space="preserve">The following sales and services are exempt from the sales tax: </w:t>
      </w:r>
    </w:p>
    <w:p w:rsidR="00CD1164" w:rsidRDefault="00CD1164" w:rsidP="00A85722">
      <w:pPr>
        <w:rPr>
          <w:rFonts w:ascii="Bookman Old Style" w:hAnsi="Bookman Old Style" w:cs="Times New Roman"/>
          <w:b/>
          <w:sz w:val="25"/>
          <w:szCs w:val="25"/>
        </w:rPr>
      </w:pPr>
    </w:p>
    <w:p w:rsidR="00202FD6" w:rsidRPr="00375469" w:rsidRDefault="00202FD6" w:rsidP="00202FD6">
      <w:pPr>
        <w:widowControl w:val="0"/>
        <w:autoSpaceDE w:val="0"/>
        <w:autoSpaceDN w:val="0"/>
        <w:adjustRightInd w:val="0"/>
        <w:rPr>
          <w:rFonts w:ascii="Arial" w:hAnsi="Arial" w:cs="Arial"/>
          <w:b/>
          <w:bCs/>
        </w:rPr>
      </w:pPr>
      <w:r w:rsidRPr="0013044A">
        <w:rPr>
          <w:rFonts w:ascii="Arial" w:hAnsi="Arial" w:cs="Arial"/>
          <w:b/>
          <w:bCs/>
          <w:highlight w:val="yellow"/>
        </w:rPr>
        <w:t>CURRENT CODE READS:</w:t>
      </w:r>
    </w:p>
    <w:p w:rsidR="00FE0F8D" w:rsidRPr="00EB3952" w:rsidRDefault="00E00A92" w:rsidP="00A85722">
      <w:pPr>
        <w:rPr>
          <w:rFonts w:ascii="Arial Narrow" w:hAnsi="Arial Narrow" w:cs="Tahoma"/>
          <w:sz w:val="16"/>
          <w:szCs w:val="16"/>
        </w:rPr>
      </w:pPr>
      <w:r>
        <w:rPr>
          <w:rFonts w:ascii="Arial" w:hAnsi="Arial" w:cs="Arial"/>
          <w:b/>
        </w:rPr>
        <w:tab/>
      </w:r>
      <w:r w:rsidR="00F27ED3" w:rsidRPr="00083095">
        <w:rPr>
          <w:rFonts w:ascii="Arial" w:hAnsi="Arial" w:cs="Arial"/>
        </w:rPr>
        <w:t xml:space="preserve"> </w:t>
      </w:r>
      <w:r w:rsidR="00F27ED3" w:rsidRPr="00083095">
        <w:rPr>
          <w:rFonts w:ascii="Arial" w:hAnsi="Arial" w:cs="Arial"/>
          <w:b/>
        </w:rPr>
        <w:t>(a)</w:t>
      </w:r>
      <w:r w:rsidR="00F27ED3" w:rsidRPr="00083095">
        <w:rPr>
          <w:rFonts w:ascii="Arial" w:hAnsi="Arial" w:cs="Arial"/>
        </w:rPr>
        <w:t xml:space="preserve"> Anyone sixty</w:t>
      </w:r>
      <w:r w:rsidR="00F27ED3" w:rsidRPr="00083095">
        <w:rPr>
          <w:rFonts w:ascii="Arial" w:hAnsi="Arial" w:cs="Arial"/>
          <w:i/>
          <w:iCs/>
        </w:rPr>
        <w:t>-</w:t>
      </w:r>
      <w:r w:rsidR="00F27ED3" w:rsidRPr="00083095">
        <w:rPr>
          <w:rFonts w:ascii="Arial" w:hAnsi="Arial" w:cs="Arial"/>
        </w:rPr>
        <w:t>five years of age or older may apply for and be issued by the City Administrator or designee a senior citizens sales tax exemption card, for fifteen</w:t>
      </w:r>
      <w:r w:rsidR="00904DF2" w:rsidRPr="00083095">
        <w:rPr>
          <w:rFonts w:ascii="Arial" w:hAnsi="Arial" w:cs="Arial"/>
        </w:rPr>
        <w:t xml:space="preserve"> dollars</w:t>
      </w:r>
      <w:r w:rsidR="004E6109">
        <w:rPr>
          <w:rFonts w:ascii="Arial" w:hAnsi="Arial" w:cs="Arial"/>
          <w:color w:val="1F3864" w:themeColor="accent1" w:themeShade="80"/>
        </w:rPr>
        <w:t xml:space="preserve"> </w:t>
      </w:r>
      <w:r w:rsidR="00F27ED3" w:rsidRPr="00B8633D">
        <w:rPr>
          <w:rFonts w:ascii="Arial" w:hAnsi="Arial" w:cs="Arial"/>
          <w:strike/>
          <w:color w:val="1F3864" w:themeColor="accent1" w:themeShade="80"/>
        </w:rPr>
        <w:t>to be renewed bi-annually</w:t>
      </w:r>
      <w:r w:rsidR="00F27ED3" w:rsidRPr="00083095">
        <w:rPr>
          <w:rFonts w:ascii="Arial" w:hAnsi="Arial" w:cs="Arial"/>
        </w:rPr>
        <w:t xml:space="preserve">. </w:t>
      </w:r>
      <w:r w:rsidR="00FE0F8D" w:rsidRPr="00083095">
        <w:rPr>
          <w:rFonts w:ascii="Arial" w:hAnsi="Arial" w:cs="Arial"/>
        </w:rPr>
        <w:t>This card entitles the person to be exempted from the operation of the city's consumer's sales taxes on purchases of all types of property, rentals and services</w:t>
      </w:r>
      <w:r w:rsidR="00FE0F8D" w:rsidRPr="00E00A92">
        <w:rPr>
          <w:rFonts w:ascii="Arial" w:hAnsi="Arial" w:cs="Arial"/>
        </w:rPr>
        <w:t>, except alcoholic beverages of all types and all types of tobacco products, n</w:t>
      </w:r>
      <w:r w:rsidR="00FE0F8D" w:rsidRPr="00083095">
        <w:rPr>
          <w:rFonts w:ascii="Arial" w:hAnsi="Arial" w:cs="Arial"/>
        </w:rPr>
        <w:t>ot for use in any trade or business. No seller within the city shall charge or collect the sales tax on exempted purchases from any person who displays such a valid sales tax exempt card. All sellers within the city shall keep records of such exempt sales and submit quarterly totals of such sales to the revenue collector, together with any other information required by law. To qualify for a tax exempt card a person must provide a copy of their Alaska ID or driver’s license, and proof they have resided in Alaska, as a permanent resident for the past 12 months, received an Alaska Permanent Fund Dividend, documentation required as part of a permanent fund</w:t>
      </w:r>
      <w:r w:rsidR="00FE0F8D" w:rsidRPr="008C5077">
        <w:rPr>
          <w:rFonts w:ascii="Arial Narrow" w:hAnsi="Arial Narrow" w:cs="Tahoma"/>
          <w:sz w:val="26"/>
          <w:szCs w:val="26"/>
        </w:rPr>
        <w:t xml:space="preserve"> application or other documentation that verifies a person has established permanent residency in Alaska must be submitted to show proof of residency.</w:t>
      </w:r>
    </w:p>
    <w:p w:rsidR="007F2D99" w:rsidRPr="007F2D99" w:rsidRDefault="007F2D99" w:rsidP="00A85722">
      <w:pPr>
        <w:jc w:val="center"/>
        <w:rPr>
          <w:rFonts w:ascii="Bookman Old Style" w:hAnsi="Bookman Old Style" w:cs="Times New Roman"/>
          <w:sz w:val="4"/>
          <w:szCs w:val="4"/>
        </w:rPr>
      </w:pPr>
    </w:p>
    <w:p w:rsidR="00274A8D" w:rsidRPr="00274A8D" w:rsidRDefault="00274A8D" w:rsidP="00A85722">
      <w:pPr>
        <w:widowControl w:val="0"/>
        <w:autoSpaceDE w:val="0"/>
        <w:autoSpaceDN w:val="0"/>
        <w:adjustRightInd w:val="0"/>
        <w:rPr>
          <w:rFonts w:ascii="Arial" w:hAnsi="Arial" w:cs="Arial"/>
          <w:sz w:val="12"/>
          <w:szCs w:val="12"/>
        </w:rPr>
      </w:pPr>
    </w:p>
    <w:p w:rsidR="0017458B" w:rsidRDefault="0013044A" w:rsidP="00202FD6">
      <w:pPr>
        <w:rPr>
          <w:rFonts w:ascii="Arial Narrow" w:hAnsi="Arial Narrow" w:cs="Tahoma"/>
          <w:sz w:val="18"/>
          <w:szCs w:val="18"/>
        </w:rPr>
      </w:pPr>
      <w:r w:rsidRPr="002630F3">
        <w:rPr>
          <w:rFonts w:ascii="Arial" w:hAnsi="Arial" w:cs="Arial"/>
          <w:b/>
          <w:sz w:val="25"/>
          <w:szCs w:val="25"/>
          <w:highlight w:val="yellow"/>
        </w:rPr>
        <w:t>AMENDED CODE</w:t>
      </w:r>
      <w:r>
        <w:rPr>
          <w:rFonts w:ascii="Arial" w:hAnsi="Arial" w:cs="Arial"/>
          <w:b/>
          <w:sz w:val="25"/>
          <w:szCs w:val="25"/>
          <w:highlight w:val="yellow"/>
        </w:rPr>
        <w:t xml:space="preserve"> WILL READ</w:t>
      </w:r>
      <w:r w:rsidRPr="002630F3">
        <w:rPr>
          <w:rFonts w:ascii="Arial" w:hAnsi="Arial" w:cs="Arial"/>
          <w:b/>
          <w:sz w:val="25"/>
          <w:szCs w:val="25"/>
          <w:highlight w:val="yellow"/>
        </w:rPr>
        <w:t>:</w:t>
      </w:r>
    </w:p>
    <w:p w:rsidR="0013044A" w:rsidRPr="00EB3952" w:rsidRDefault="00202FD6" w:rsidP="0013044A">
      <w:pPr>
        <w:rPr>
          <w:rFonts w:ascii="Arial Narrow" w:hAnsi="Arial Narrow" w:cs="Tahoma"/>
          <w:sz w:val="16"/>
          <w:szCs w:val="16"/>
        </w:rPr>
      </w:pPr>
      <w:r>
        <w:rPr>
          <w:rFonts w:ascii="Arial" w:hAnsi="Arial" w:cs="Arial"/>
          <w:b/>
        </w:rPr>
        <w:tab/>
      </w:r>
      <w:r w:rsidR="0013044A" w:rsidRPr="00083095">
        <w:rPr>
          <w:rFonts w:ascii="Arial" w:hAnsi="Arial" w:cs="Arial"/>
          <w:b/>
        </w:rPr>
        <w:t>(a)</w:t>
      </w:r>
      <w:r w:rsidR="0013044A" w:rsidRPr="00083095">
        <w:rPr>
          <w:rFonts w:ascii="Arial" w:hAnsi="Arial" w:cs="Arial"/>
        </w:rPr>
        <w:t xml:space="preserve"> Anyone sixty</w:t>
      </w:r>
      <w:r w:rsidR="0013044A" w:rsidRPr="00083095">
        <w:rPr>
          <w:rFonts w:ascii="Arial" w:hAnsi="Arial" w:cs="Arial"/>
          <w:i/>
          <w:iCs/>
        </w:rPr>
        <w:t>-</w:t>
      </w:r>
      <w:r w:rsidR="0013044A" w:rsidRPr="00083095">
        <w:rPr>
          <w:rFonts w:ascii="Arial" w:hAnsi="Arial" w:cs="Arial"/>
        </w:rPr>
        <w:t>five years of age or older may apply for and be issued by the City Administrator or designee a senior citizens sales tax exemption card, for fifteen dollars</w:t>
      </w:r>
      <w:r w:rsidR="0013044A" w:rsidRPr="00B8633D">
        <w:rPr>
          <w:rFonts w:ascii="Arial" w:hAnsi="Arial" w:cs="Arial"/>
          <w:color w:val="1F3864" w:themeColor="accent1" w:themeShade="80"/>
        </w:rPr>
        <w:t xml:space="preserve">.  </w:t>
      </w:r>
      <w:r w:rsidR="0013044A" w:rsidRPr="00B8633D">
        <w:rPr>
          <w:rFonts w:ascii="Arial" w:hAnsi="Arial" w:cs="Arial"/>
          <w:b/>
          <w:color w:val="1F3864" w:themeColor="accent1" w:themeShade="80"/>
        </w:rPr>
        <w:t>CARDS ARE VALID FOR TWO YEARS BEGINNING THE FIRST OF EVEN CALENDAR YEARS AND VALID THROUGH THE END OF THE FOLLOWING ODD CALENDAR YEARS. THERE SHALL BE NO PRORATING OF FEES ISSUED BETWEEN BEGINNING AND END DATES</w:t>
      </w:r>
      <w:r w:rsidR="0013044A" w:rsidRPr="00B8633D">
        <w:rPr>
          <w:rFonts w:ascii="Arial" w:hAnsi="Arial" w:cs="Arial"/>
          <w:color w:val="1F3864" w:themeColor="accent1" w:themeShade="80"/>
        </w:rPr>
        <w:t xml:space="preserve">. </w:t>
      </w:r>
      <w:r w:rsidR="0013044A" w:rsidRPr="00083095">
        <w:rPr>
          <w:rFonts w:ascii="Arial" w:hAnsi="Arial" w:cs="Arial"/>
        </w:rPr>
        <w:t>This card entitles the person to be exempted from the operation of the city's consumer's sales taxes on purchases of all types of property, rentals and services</w:t>
      </w:r>
      <w:r w:rsidR="0013044A" w:rsidRPr="00E00A92">
        <w:rPr>
          <w:rFonts w:ascii="Arial" w:hAnsi="Arial" w:cs="Arial"/>
        </w:rPr>
        <w:t>, except alcoholic beverages of all types and all types of tobacco products, n</w:t>
      </w:r>
      <w:r w:rsidR="0013044A" w:rsidRPr="00083095">
        <w:rPr>
          <w:rFonts w:ascii="Arial" w:hAnsi="Arial" w:cs="Arial"/>
        </w:rPr>
        <w:t>ot for use in any trade or business. No seller within the city shall charge or collect the sales tax on exempted purchases from any person who displays such a valid sales tax exempt card. All sellers within the city shall keep records of such exempt sales and submit quarterly totals of such sales to the revenue collector, together with any other information required by law. To qualify for a tax exempt card a person must provide a copy of their Alaska ID or driver’s license, and proof they have resided in Alaska, as a permanent resident for the past 12 months, received an Alaska Permanent Fund Dividend, documentation required as part of a permanent fund</w:t>
      </w:r>
      <w:r w:rsidR="0013044A" w:rsidRPr="008C5077">
        <w:rPr>
          <w:rFonts w:ascii="Arial Narrow" w:hAnsi="Arial Narrow" w:cs="Tahoma"/>
          <w:sz w:val="26"/>
          <w:szCs w:val="26"/>
        </w:rPr>
        <w:t xml:space="preserve"> application or other documentation that verifies a person has established permanent residency in Alaska must be submitted to show proof of residency.</w:t>
      </w:r>
    </w:p>
    <w:p w:rsidR="0013044A" w:rsidRPr="007F2D99" w:rsidRDefault="0013044A" w:rsidP="0013044A">
      <w:pPr>
        <w:jc w:val="center"/>
        <w:rPr>
          <w:rFonts w:ascii="Bookman Old Style" w:hAnsi="Bookman Old Style" w:cs="Times New Roman"/>
          <w:sz w:val="4"/>
          <w:szCs w:val="4"/>
        </w:rPr>
      </w:pPr>
    </w:p>
    <w:p w:rsidR="0013044A" w:rsidRPr="00274A8D" w:rsidRDefault="0013044A" w:rsidP="0013044A">
      <w:pPr>
        <w:widowControl w:val="0"/>
        <w:autoSpaceDE w:val="0"/>
        <w:autoSpaceDN w:val="0"/>
        <w:adjustRightInd w:val="0"/>
        <w:rPr>
          <w:rFonts w:ascii="Arial" w:hAnsi="Arial" w:cs="Arial"/>
          <w:sz w:val="12"/>
          <w:szCs w:val="12"/>
        </w:rPr>
      </w:pPr>
    </w:p>
    <w:p w:rsidR="0013044A" w:rsidRDefault="0013044A" w:rsidP="0013044A">
      <w:pPr>
        <w:widowControl w:val="0"/>
        <w:autoSpaceDE w:val="0"/>
        <w:autoSpaceDN w:val="0"/>
        <w:adjustRightInd w:val="0"/>
        <w:rPr>
          <w:rFonts w:ascii="Arial Narrow" w:hAnsi="Arial Narrow" w:cs="Tahoma"/>
          <w:sz w:val="18"/>
          <w:szCs w:val="18"/>
        </w:rPr>
      </w:pPr>
    </w:p>
    <w:p w:rsidR="0013044A" w:rsidRDefault="0013044A" w:rsidP="0013044A"/>
    <w:p w:rsidR="0017458B" w:rsidRDefault="0017458B" w:rsidP="00A85722"/>
    <w:sectPr w:rsidR="0017458B" w:rsidSect="006D03AF">
      <w:headerReference w:type="default" r:id="rId7"/>
      <w:pgSz w:w="12240" w:h="15840"/>
      <w:pgMar w:top="126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57F" w:rsidRDefault="0084757F" w:rsidP="007061F2">
      <w:r>
        <w:separator/>
      </w:r>
    </w:p>
  </w:endnote>
  <w:endnote w:type="continuationSeparator" w:id="0">
    <w:p w:rsidR="0084757F" w:rsidRDefault="0084757F" w:rsidP="0070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57F" w:rsidRDefault="0084757F" w:rsidP="007061F2">
      <w:r>
        <w:separator/>
      </w:r>
    </w:p>
  </w:footnote>
  <w:footnote w:type="continuationSeparator" w:id="0">
    <w:p w:rsidR="0084757F" w:rsidRDefault="0084757F" w:rsidP="0070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201543"/>
      <w:docPartObj>
        <w:docPartGallery w:val="Page Numbers (Top of Page)"/>
        <w:docPartUnique/>
      </w:docPartObj>
    </w:sdtPr>
    <w:sdtEndPr/>
    <w:sdtContent>
      <w:p w:rsidR="007061F2" w:rsidRDefault="007061F2" w:rsidP="007061F2">
        <w:pPr>
          <w:pStyle w:val="Header"/>
          <w:ind w:left="-360"/>
        </w:pPr>
        <w:r>
          <w:t>Ordinance 17-09-19-02</w:t>
        </w:r>
      </w:p>
      <w:p w:rsidR="007061F2" w:rsidRPr="007061F2" w:rsidRDefault="007061F2" w:rsidP="007061F2">
        <w:pPr>
          <w:pStyle w:val="Header"/>
          <w:ind w:left="-360"/>
          <w:rPr>
            <w:b/>
            <w:bCs/>
          </w:rPr>
        </w:pPr>
        <w:r>
          <w:t xml:space="preserve">Page </w:t>
        </w:r>
        <w:r>
          <w:rPr>
            <w:b/>
            <w:bCs/>
          </w:rPr>
          <w:fldChar w:fldCharType="begin"/>
        </w:r>
        <w:r>
          <w:rPr>
            <w:b/>
            <w:bCs/>
          </w:rPr>
          <w:instrText xml:space="preserve"> PAGE </w:instrText>
        </w:r>
        <w:r>
          <w:rPr>
            <w:b/>
            <w:bCs/>
          </w:rPr>
          <w:fldChar w:fldCharType="separate"/>
        </w:r>
        <w:r w:rsidR="0084757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757F">
          <w:rPr>
            <w:b/>
            <w:bCs/>
            <w:noProof/>
          </w:rPr>
          <w:t>1</w:t>
        </w:r>
        <w:r>
          <w:rPr>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E23"/>
    <w:multiLevelType w:val="hybridMultilevel"/>
    <w:tmpl w:val="4918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D3"/>
    <w:rsid w:val="00024835"/>
    <w:rsid w:val="00083095"/>
    <w:rsid w:val="000B30AC"/>
    <w:rsid w:val="00111621"/>
    <w:rsid w:val="0013044A"/>
    <w:rsid w:val="0017458B"/>
    <w:rsid w:val="00202FD6"/>
    <w:rsid w:val="002307FE"/>
    <w:rsid w:val="002414F0"/>
    <w:rsid w:val="00251B9B"/>
    <w:rsid w:val="002630F3"/>
    <w:rsid w:val="00274A8D"/>
    <w:rsid w:val="002D5072"/>
    <w:rsid w:val="00347E8A"/>
    <w:rsid w:val="00365058"/>
    <w:rsid w:val="00375469"/>
    <w:rsid w:val="00410230"/>
    <w:rsid w:val="004B40CA"/>
    <w:rsid w:val="004E6109"/>
    <w:rsid w:val="00576F1C"/>
    <w:rsid w:val="00593FF6"/>
    <w:rsid w:val="006C38DC"/>
    <w:rsid w:val="006D03AF"/>
    <w:rsid w:val="007061F2"/>
    <w:rsid w:val="00795347"/>
    <w:rsid w:val="007D21DB"/>
    <w:rsid w:val="007F2D99"/>
    <w:rsid w:val="00834A62"/>
    <w:rsid w:val="0084757F"/>
    <w:rsid w:val="00862550"/>
    <w:rsid w:val="00873AF4"/>
    <w:rsid w:val="008F4627"/>
    <w:rsid w:val="0090288F"/>
    <w:rsid w:val="00904DF2"/>
    <w:rsid w:val="00931D7D"/>
    <w:rsid w:val="00931ECA"/>
    <w:rsid w:val="00944E62"/>
    <w:rsid w:val="009958BD"/>
    <w:rsid w:val="009A51CE"/>
    <w:rsid w:val="00A4744C"/>
    <w:rsid w:val="00A85722"/>
    <w:rsid w:val="00B473FB"/>
    <w:rsid w:val="00B8633D"/>
    <w:rsid w:val="00C87421"/>
    <w:rsid w:val="00CD1164"/>
    <w:rsid w:val="00CE1E33"/>
    <w:rsid w:val="00D304E6"/>
    <w:rsid w:val="00D81B4E"/>
    <w:rsid w:val="00E00A92"/>
    <w:rsid w:val="00E40E80"/>
    <w:rsid w:val="00E83027"/>
    <w:rsid w:val="00F07E89"/>
    <w:rsid w:val="00F14FE0"/>
    <w:rsid w:val="00F27ED3"/>
    <w:rsid w:val="00F756F8"/>
    <w:rsid w:val="00F93884"/>
    <w:rsid w:val="00FB3387"/>
    <w:rsid w:val="00FB3D1E"/>
    <w:rsid w:val="00FE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0A74"/>
  <w15:chartTrackingRefBased/>
  <w15:docId w15:val="{327BC367-8DA7-4D26-AE21-A07863BC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D3"/>
    <w:pPr>
      <w:spacing w:after="0" w:line="240" w:lineRule="auto"/>
      <w:ind w:left="0" w:firstLine="0"/>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F2"/>
    <w:pPr>
      <w:tabs>
        <w:tab w:val="center" w:pos="4680"/>
        <w:tab w:val="right" w:pos="9360"/>
      </w:tabs>
    </w:pPr>
  </w:style>
  <w:style w:type="character" w:customStyle="1" w:styleId="HeaderChar">
    <w:name w:val="Header Char"/>
    <w:basedOn w:val="DefaultParagraphFont"/>
    <w:link w:val="Header"/>
    <w:uiPriority w:val="99"/>
    <w:rsid w:val="007061F2"/>
    <w:rPr>
      <w:rFonts w:ascii="Courier New" w:eastAsia="Times New Roman" w:hAnsi="Courier New" w:cs="Courier New"/>
      <w:sz w:val="24"/>
      <w:szCs w:val="24"/>
    </w:rPr>
  </w:style>
  <w:style w:type="paragraph" w:styleId="Footer">
    <w:name w:val="footer"/>
    <w:basedOn w:val="Normal"/>
    <w:link w:val="FooterChar"/>
    <w:uiPriority w:val="99"/>
    <w:unhideWhenUsed/>
    <w:rsid w:val="007061F2"/>
    <w:pPr>
      <w:tabs>
        <w:tab w:val="center" w:pos="4680"/>
        <w:tab w:val="right" w:pos="9360"/>
      </w:tabs>
    </w:pPr>
  </w:style>
  <w:style w:type="character" w:customStyle="1" w:styleId="FooterChar">
    <w:name w:val="Footer Char"/>
    <w:basedOn w:val="DefaultParagraphFont"/>
    <w:link w:val="Footer"/>
    <w:uiPriority w:val="99"/>
    <w:rsid w:val="007061F2"/>
    <w:rPr>
      <w:rFonts w:ascii="Courier New" w:eastAsia="Times New Roman" w:hAnsi="Courier New" w:cs="Courier New"/>
      <w:sz w:val="24"/>
      <w:szCs w:val="24"/>
    </w:rPr>
  </w:style>
  <w:style w:type="paragraph" w:styleId="ListParagraph">
    <w:name w:val="List Paragraph"/>
    <w:basedOn w:val="Normal"/>
    <w:uiPriority w:val="34"/>
    <w:qFormat/>
    <w:rsid w:val="00FE0F8D"/>
    <w:pPr>
      <w:ind w:left="720"/>
      <w:contextualSpacing/>
    </w:pPr>
  </w:style>
  <w:style w:type="paragraph" w:styleId="BalloonText">
    <w:name w:val="Balloon Text"/>
    <w:basedOn w:val="Normal"/>
    <w:link w:val="BalloonTextChar"/>
    <w:uiPriority w:val="99"/>
    <w:semiHidden/>
    <w:unhideWhenUsed/>
    <w:rsid w:val="007F2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Teri Feibel</cp:lastModifiedBy>
  <cp:revision>24</cp:revision>
  <cp:lastPrinted>2017-08-30T18:06:00Z</cp:lastPrinted>
  <dcterms:created xsi:type="dcterms:W3CDTF">2017-09-11T16:07:00Z</dcterms:created>
  <dcterms:modified xsi:type="dcterms:W3CDTF">2017-09-11T16:21:00Z</dcterms:modified>
</cp:coreProperties>
</file>